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E2" w:rsidRDefault="00220BE2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color w:val="000000"/>
        </w:rPr>
        <w:t>ALLEGATO C</w:t>
      </w:r>
    </w:p>
    <w:p w:rsidR="00220BE2" w:rsidRDefault="00220BE2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</w:rPr>
      </w:pPr>
    </w:p>
    <w:p w:rsid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</w:rPr>
      </w:pPr>
      <w:r w:rsidRPr="00F51BC6">
        <w:rPr>
          <w:rFonts w:asciiTheme="minorHAnsi" w:hAnsiTheme="minorHAnsi" w:cs="Arial"/>
          <w:b/>
          <w:bCs/>
          <w:color w:val="000000"/>
        </w:rPr>
        <w:t xml:space="preserve">ORTAGGI FRESCHI DI CATEGORIA 1° </w:t>
      </w:r>
      <w:r w:rsidR="0054079B" w:rsidRPr="00F51BC6">
        <w:rPr>
          <w:rFonts w:asciiTheme="minorHAnsi" w:hAnsiTheme="minorHAnsi" w:cs="Arial"/>
          <w:b/>
          <w:bCs/>
          <w:color w:val="000000"/>
        </w:rPr>
        <w:t>-</w:t>
      </w:r>
    </w:p>
    <w:p w:rsidR="0054079B" w:rsidRPr="00F51BC6" w:rsidRDefault="0054079B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</w:rPr>
      </w:pPr>
      <w:r w:rsidRPr="00F51BC6">
        <w:rPr>
          <w:rFonts w:asciiTheme="minorHAnsi" w:hAnsiTheme="minorHAnsi" w:cs="Arial"/>
          <w:b/>
          <w:bCs/>
          <w:color w:val="000000"/>
        </w:rPr>
        <w:t xml:space="preserve">Origine: si predilige la </w:t>
      </w:r>
      <w:r w:rsidRPr="00F51BC6">
        <w:rPr>
          <w:rFonts w:asciiTheme="minorHAnsi" w:hAnsiTheme="minorHAnsi" w:cs="Arial"/>
          <w:b/>
          <w:bCs/>
          <w:color w:val="000000"/>
          <w:sz w:val="28"/>
        </w:rPr>
        <w:t>produzione locale e/o nazionale</w:t>
      </w:r>
      <w:r w:rsidRPr="00F51BC6">
        <w:rPr>
          <w:rFonts w:asciiTheme="minorHAnsi" w:hAnsiTheme="minorHAnsi" w:cs="Arial"/>
          <w:b/>
          <w:bCs/>
          <w:color w:val="000000"/>
        </w:rPr>
        <w:t xml:space="preserve">. </w:t>
      </w:r>
    </w:p>
    <w:p w:rsidR="00057EE2" w:rsidRPr="00F51BC6" w:rsidRDefault="00057EE2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</w:rPr>
      </w:pPr>
    </w:p>
    <w:p w:rsidR="00DC3478" w:rsidRPr="00F51BC6" w:rsidRDefault="00057EE2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REQUISITI GENERALI DI TUTTI GLI ORTAGGI</w:t>
      </w:r>
      <w:r w:rsidR="00DC3478"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1) Qualità: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Gli ortaggi devono essere: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interi, senza lesioni;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sani: sono esclusi i frutti affetti da marciume o che presentino alterazioni tali da renderli inadatti al</w:t>
      </w:r>
      <w:r w:rsid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 consumo;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puliti, privi di sostanze estranee visibili, in particolare senza residui di fertilizzanti e antiparassitari;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privi di danni provocati da lavaggio inadeguato;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di aspetto e di colore freschi;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privi di parassiti;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privi di alterazioni dovute ai parassiti;</w:t>
      </w:r>
    </w:p>
    <w:p w:rsidR="00DC3478" w:rsidRPr="00F51BC6" w:rsidRDefault="008D0B87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- 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privi di umidità esterna anormale, cioè sufficientemente asciugati dopo l'eventuale lavaggio o</w:t>
      </w:r>
      <w:r w:rsid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 xml:space="preserve">  refrigerazione con acqua fredda;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privi di odore e/o sapore estranei;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privi di atta</w:t>
      </w:r>
      <w:r w:rsidR="00F51BC6">
        <w:rPr>
          <w:rFonts w:asciiTheme="minorHAnsi" w:hAnsiTheme="minorHAnsi" w:cs="Arial"/>
          <w:color w:val="000000"/>
          <w:sz w:val="22"/>
          <w:szCs w:val="22"/>
        </w:rPr>
        <w:t>cchi di roditori e di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insetti;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esenti da danni provocati dal gelo e dal sole, esenti da tracce di muffa;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il taglio deve essere il più possibile netto e fresco.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2) Classificazione: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Gli ortaggi devono essere: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maturi fisiologicamente;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omogenei alla 1° Cat. di appartenenza: sono consentiti unicamente i difetti strettamente</w:t>
      </w:r>
      <w:r w:rsid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pertinenti alla categoria di appartenenza.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3) Calibrazione e pezzatura: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Si richiede omogeneità nella calibrazione e nella pezzatura, co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sì come determinato dalle norme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4) Indicazioni esterne: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Ogni imballaggio deve recare, in caratteri raggruppati su uno stesso lato, leggibili e visibili dall'esterno, le indicazioni seguenti, nel rispetto del Decreto legge n. 306/2002: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a) identificazione: imballatore e /o speditore;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b) natura del prodotto: designazione della specie, se il prodotto non è visibile dall'esterno;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c) origine del prodotto: paese d'origine, zona di produzione o denominazione nazionale, regionale, locale;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d) caratteristiche commerciali: categoria, pezzatura e calibro;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e) se del caso, l'indicazione "ottenuti in coltura protetta".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5) Presentazione:</w:t>
      </w:r>
    </w:p>
    <w:p w:rsidR="00DC3478" w:rsidRPr="00F51BC6" w:rsidRDefault="00F51BC6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-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omogeneità: il contenuto di ogni imballaggio deve essere omogeneo e comprendere ortaggi della stessa origine, varietà e qualità ed avere un grado di maturazione uniforme;</w:t>
      </w:r>
    </w:p>
    <w:p w:rsidR="00DC3478" w:rsidRPr="00F51BC6" w:rsidRDefault="00F51BC6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-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condizionamento: deve essere tale da assicurare al prodotto una sufficiente protezione, i materiali utilizzati all'interno dell'imballaggio devono essere nuovi, puliti e tali da non provocare alterazioni esterne o interne del prodotto; gli imballaggi devono essere privi di ogni corpo estraneo.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6) Normative di riferimento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Reg. CE n. 2251/92 (controlli sulla qualità degli ortofrutticoli freschi e successive modifiche);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/>
          <w:color w:val="000000"/>
          <w:sz w:val="22"/>
          <w:szCs w:val="22"/>
        </w:rPr>
        <w:t xml:space="preserve">-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D.M. n. 339 del 2.06.99 (disposizioni in materia di controlli di qualità dei prodotti ortofrutticoli) e</w:t>
      </w:r>
      <w:r w:rsid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successive modificazioni e integrazioni.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Ortaggi a radice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Carote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Devono rispettare i requisiti generali sopra citati e possedere le caratteristiche di qualità di cui all’allegato I del regolamento CE n. 920 del 10 aprile 1989.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lastRenderedPageBreak/>
        <w:t xml:space="preserve">Barbabietole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maggio ad agosto)</w:t>
      </w:r>
    </w:p>
    <w:p w:rsid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Devono rispettare i requisiti generali citati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Ortaggi a bulbo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Cipolle</w:t>
      </w:r>
      <w:r w:rsidR="0054079B"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Bionde</w:t>
      </w: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i requisiti generali 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citati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 devono avere le caratteristiche minime di qualità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di cui ai regolamenti CE n. 2213/83 e n. 1654/87. Inoltre i bulbi devono essere esenti da germogli visibili</w:t>
      </w:r>
      <w:r w:rsid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esternamente.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Aglio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Deve rispettare i requisiti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generali 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citati. Riferimenti normativi: Reg. CE n. 10/75 – 918/78 –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2288/97. </w:t>
      </w:r>
      <w:r w:rsidRPr="00F51BC6">
        <w:rPr>
          <w:rFonts w:asciiTheme="minorHAnsi" w:hAnsiTheme="minorHAnsi" w:cs="Arial"/>
          <w:color w:val="000000"/>
          <w:sz w:val="22"/>
          <w:szCs w:val="22"/>
          <w:u w:val="single"/>
        </w:rPr>
        <w:t>Non deve essere stato trattato con radiazioni.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Porri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ottobre ad aprile)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i requisiti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citati, e devono rispondere alle caratteristiche di qualità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di cui al Reg. CE n. 1292/81 e al Reg. CE 1076/89 e successive modifiche.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Ortaggi a frutto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Pomodori: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varietà: "da insalata", "rosso a grappolo", (periodo di fornitura indicativo: tutto l'anno)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i requisiti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citati e devono rispondere alle caratteristiche di qualità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di cui ai regolamenti CE n. 778/83 – 490/90 – 918/94.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Zucchine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l'anno)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citate. Il peso del singolo ortaggio non dovrà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essere superiore a gr. 200. Devono rispondere alle caratteristiche di qualità di cui ai regolamenti CE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n.1292/81 e 1076/89.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Zucca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agosto a gennaio)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Deve rispettare le disposizioni generali 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citate,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deve presentarsi intera e sana,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senza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spaccature o segni di attacchi da parassiti, senza bruciature dovute al sole o segni di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>marciume.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Dev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>e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rispondere alle caratteristiche di qualità di cui ai regolamenti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CE n.1292/81 e 1076/89.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Melanzane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maggio a settembre)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Devono rispettare le disposizioni generali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sopra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citate, il diametro minimo per le melanzane lunghe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è di cm. 4 e per le melanzane globose (tonde, ovoidali, piriforme) è di cm. 7 (D.M. 30/05/1973).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Peperoni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citate, dovranno essere interi, privi di lesioni non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cicatrizzate, esenti da bruciature di sole, di aspetto fresco e gradevole secondo i Reg. CE n. 300/85 –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349/1988.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Cetrioli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giugno a settembre)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 devono rispondere alle caratteristiche di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qualità di cui ai regolamenti CE n.1292/81 e 1076/89.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Ortaggi a fiore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Cavolfiori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settembre a giugno)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citate, devono risultare privi di residui di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antiparassitari o di fertilizzanti. Devono rispettare la caratteristiche di cui al Reg. CE n° 963/98.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Il diametro delle infiorescenze non deve essere inferiore a 11 cm.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Ortaggi a fusto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Finocchi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settembre a maggio)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citate, il calibro minimo dovrà essere di 6 cm (DM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25/08/1972)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Ortaggi a foglia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Cavoli cappucci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057EE2" w:rsidRPr="00F51BC6">
        <w:rPr>
          <w:rFonts w:asciiTheme="minorHAnsi" w:hAnsiTheme="minorHAnsi" w:cs="Arial"/>
          <w:color w:val="000000"/>
          <w:sz w:val="22"/>
          <w:szCs w:val="22"/>
        </w:rPr>
        <w:t>sopra 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Cavoli verza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agosto a marzo)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Cicoria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varietà: "Milano". Devono rispettare le disposizioni generali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sopra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Bietole da Costa (e da taglio)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Lattughe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614081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V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arietà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: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 xml:space="preserve"> "Gentile"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"Romana", "Cappuccina". Devono rispettare le disposizioni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 xml:space="preserve">generali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sopra 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lastRenderedPageBreak/>
        <w:t xml:space="preserve">Indivie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l’anno)</w:t>
      </w:r>
    </w:p>
    <w:p w:rsidR="00DC3478" w:rsidRPr="00F51BC6" w:rsidRDefault="00614081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V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arietà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: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 xml:space="preserve"> "Riccia" e "Scarola". Devono rispettare le disposizioni generali 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>sopra 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Radicchio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gennaio, febbraio, marzo, ottobre, novembre, dicembre)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varietà: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"Rosso di Chioggia"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Dev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>e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 rispettare le disposizioni generali 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Rucola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da marzo a novembre)</w:t>
      </w:r>
    </w:p>
    <w:p w:rsidR="0054079B" w:rsidRPr="00F51BC6" w:rsidRDefault="0054079B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Devono rispettare le disposizioni generali sopra citate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Sedano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(periodo di fornitura indicativo: tutto l'anno</w:t>
      </w:r>
      <w:r w:rsidR="0054079B" w:rsidRPr="00F51BC6">
        <w:rPr>
          <w:rFonts w:asciiTheme="minorHAnsi" w:hAnsiTheme="minorHAnsi" w:cs="Arial"/>
          <w:color w:val="000000"/>
          <w:sz w:val="22"/>
          <w:szCs w:val="22"/>
        </w:rPr>
        <w:t>)</w:t>
      </w:r>
    </w:p>
    <w:p w:rsidR="00DC3478" w:rsidRPr="00F51BC6" w:rsidRDefault="0054079B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v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arietà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: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 xml:space="preserve"> "Bianco" e "Verde". De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ve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 xml:space="preserve"> rispettare le disposizioni generali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="00DC3478" w:rsidRPr="00F51BC6">
        <w:rPr>
          <w:rFonts w:asciiTheme="minorHAnsi" w:hAnsiTheme="minorHAnsi" w:cs="Arial"/>
          <w:color w:val="000000"/>
          <w:sz w:val="22"/>
          <w:szCs w:val="22"/>
        </w:rPr>
        <w:t>citate.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I cespi dovranno inoltre essere ben sviluppati e consistenti.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Patate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Devono rispettare le disposizioni generali 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sopra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citate (periodo di fornitura indicativo: tutto l’anno).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Possono presentare un minimo di terra all’arrivo, sono da scartare le patate con buccia raggrinzita e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flaccida, con germogliazione incipiente (germogli ombra) o in via di evoluzione, con tracce di verde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epicarpale (solanina), con incrostazioni terrose o sciolte in sacchi, con abrasioni, maculosità bruna della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polpa.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Si chiede che i prodotti forniti </w:t>
      </w: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non siano sottoposti a trattamenti anti germogliativi.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Si richiede inoltre una morfologia uniforme, con un peso minimo di gr. 60 e un peso massimo di gr. 250 per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tubero e, in relazione ad ogni singola ordinazione, dovranno essere selezionate in modo da appartenere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alla stessa qualità. Il peso minimo per tubero potrà essere inferiore a quello previsto solo nel caso di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forniture di prodotto novello. Sono ammessi i seguenti imballaggi: tele ed imballaggi lignei, tele di canapa o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juta con imboccatura cucita, cartellinata e piombata.</w:t>
      </w:r>
    </w:p>
    <w:p w:rsidR="00B83E55" w:rsidRPr="00F51BC6" w:rsidRDefault="00B83E55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C3478" w:rsidRPr="00F51BC6" w:rsidRDefault="005E11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  <w:u w:val="single"/>
        </w:rPr>
        <w:t>Erbe aromatiche seccate e fresche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>Salvia, Rosmarino, Basilico, Prezzemolo, Alloro, Maggiorana, Erba cipollina, Origano, Menta, Timo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 xml:space="preserve">(periodo di fornitura indicativo: 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>tutto l’anno).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Devono essere di or</w:t>
      </w:r>
      <w:r w:rsidR="002450A3">
        <w:rPr>
          <w:rFonts w:asciiTheme="minorHAnsi" w:hAnsiTheme="minorHAnsi" w:cs="Arial"/>
          <w:color w:val="000000"/>
          <w:sz w:val="22"/>
          <w:szCs w:val="22"/>
        </w:rPr>
        <w:t>igine nazionale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, presentarsi in ottimo stato di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conservazione, senza essere eccessivamente sbriciolate, pulite, monde da insetti e corpi estranei. E’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tollerata la presenza di parti di stelo.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Indicazioni obbligatorie: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produttore, imballatore e/o speditore - natura - origine.</w:t>
      </w:r>
    </w:p>
    <w:p w:rsidR="00DC3478" w:rsidRPr="00F51BC6" w:rsidRDefault="00DC3478" w:rsidP="00F51BC6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51BC6">
        <w:rPr>
          <w:rFonts w:asciiTheme="minorHAnsi" w:hAnsiTheme="minorHAnsi" w:cs="Arial"/>
          <w:color w:val="000000"/>
          <w:sz w:val="22"/>
          <w:szCs w:val="22"/>
        </w:rPr>
        <w:t>I prodotti essiccati devono essere confezionati in barattoli con contenuto medio intorno ai 100 gr. La chiusura</w:t>
      </w:r>
      <w:r w:rsidR="00614081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della confezione deve essere "salvaroma", riportare il sigillo di garanzia e presentare un tappo spargitore. In</w:t>
      </w:r>
      <w:r w:rsidR="00B83E55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etichetta devono figurare: natura del prodotto; nome del produttore; numero del lotto; data di scadenza e</w:t>
      </w:r>
      <w:r w:rsidR="00B83E55" w:rsidRPr="00F51BC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F51BC6">
        <w:rPr>
          <w:rFonts w:asciiTheme="minorHAnsi" w:hAnsiTheme="minorHAnsi" w:cs="Arial"/>
          <w:color w:val="000000"/>
          <w:sz w:val="22"/>
          <w:szCs w:val="22"/>
        </w:rPr>
        <w:t>paese di provenienza.</w:t>
      </w:r>
    </w:p>
    <w:p w:rsidR="004929DC" w:rsidRPr="00F51BC6" w:rsidRDefault="00220BE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DATA,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TIMBRO E FIRMA</w:t>
      </w:r>
    </w:p>
    <w:sectPr w:rsidR="004929DC" w:rsidRPr="00F51BC6" w:rsidSect="00220BE2">
      <w:headerReference w:type="default" r:id="rId6"/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223" w:rsidRDefault="007C1223" w:rsidP="00F51BC6">
      <w:r>
        <w:separator/>
      </w:r>
    </w:p>
  </w:endnote>
  <w:endnote w:type="continuationSeparator" w:id="0">
    <w:p w:rsidR="007C1223" w:rsidRDefault="007C1223" w:rsidP="00F5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9409126"/>
      <w:docPartObj>
        <w:docPartGallery w:val="Page Numbers (Bottom of Page)"/>
        <w:docPartUnique/>
      </w:docPartObj>
    </w:sdtPr>
    <w:sdtEndPr/>
    <w:sdtContent>
      <w:p w:rsidR="00F51BC6" w:rsidRDefault="00F51B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0E8">
          <w:rPr>
            <w:noProof/>
          </w:rPr>
          <w:t>3</w:t>
        </w:r>
        <w:r>
          <w:fldChar w:fldCharType="end"/>
        </w:r>
      </w:p>
    </w:sdtContent>
  </w:sdt>
  <w:p w:rsidR="00F51BC6" w:rsidRDefault="00F51BC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223" w:rsidRDefault="007C1223" w:rsidP="00F51BC6">
      <w:r>
        <w:separator/>
      </w:r>
    </w:p>
  </w:footnote>
  <w:footnote w:type="continuationSeparator" w:id="0">
    <w:p w:rsidR="007C1223" w:rsidRDefault="007C1223" w:rsidP="00F51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BC6" w:rsidRDefault="00F51BC6">
    <w:pPr>
      <w:pStyle w:val="Intestazione"/>
      <w:jc w:val="right"/>
    </w:pPr>
  </w:p>
  <w:p w:rsidR="00F51BC6" w:rsidRDefault="00F51BC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478"/>
    <w:rsid w:val="00042A56"/>
    <w:rsid w:val="000503F9"/>
    <w:rsid w:val="00057EE2"/>
    <w:rsid w:val="00152C41"/>
    <w:rsid w:val="001750E3"/>
    <w:rsid w:val="00220BE2"/>
    <w:rsid w:val="002450A3"/>
    <w:rsid w:val="004929DC"/>
    <w:rsid w:val="0052375B"/>
    <w:rsid w:val="0054079B"/>
    <w:rsid w:val="005E1178"/>
    <w:rsid w:val="00614081"/>
    <w:rsid w:val="007C1223"/>
    <w:rsid w:val="0088143D"/>
    <w:rsid w:val="008D0B87"/>
    <w:rsid w:val="00A320E8"/>
    <w:rsid w:val="00AB4160"/>
    <w:rsid w:val="00B83E55"/>
    <w:rsid w:val="00C83232"/>
    <w:rsid w:val="00D63B6A"/>
    <w:rsid w:val="00DC3478"/>
    <w:rsid w:val="00F5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18A18-5DE7-4545-AC4E-7B148C91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347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51B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1BC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51B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1BC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750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1750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FRANZINI</dc:creator>
  <cp:keywords/>
  <cp:lastModifiedBy>GABRIELLA VENTURINI</cp:lastModifiedBy>
  <cp:revision>2</cp:revision>
  <cp:lastPrinted>2015-12-28T13:49:00Z</cp:lastPrinted>
  <dcterms:created xsi:type="dcterms:W3CDTF">2021-06-11T07:23:00Z</dcterms:created>
  <dcterms:modified xsi:type="dcterms:W3CDTF">2021-06-11T07:23:00Z</dcterms:modified>
</cp:coreProperties>
</file>